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CF" w:rsidRPr="004C301E" w:rsidRDefault="00893CCF" w:rsidP="000A74FB">
      <w:pPr>
        <w:pStyle w:val="HEAD1"/>
        <w:rPr>
          <w:sz w:val="28"/>
          <w:szCs w:val="28"/>
          <w:lang w:val="uk-UA"/>
        </w:rPr>
      </w:pPr>
      <w:r w:rsidRPr="004C301E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811020" cy="553720"/>
            <wp:effectExtent l="19050" t="0" r="0" b="0"/>
            <wp:docPr id="13" name="Picture 13" descr="C:\Users\ODovga1\Desktop\universalbank_logo_ua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vga1\Desktop\universalbank_logo_ua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CCF" w:rsidRPr="00102728" w:rsidRDefault="00893CCF" w:rsidP="002D17FE">
      <w:pPr>
        <w:pStyle w:val="ListParagraph"/>
        <w:ind w:left="284"/>
        <w:jc w:val="center"/>
        <w:rPr>
          <w:b/>
          <w:sz w:val="24"/>
          <w:lang w:val="uk-UA"/>
        </w:rPr>
      </w:pPr>
      <w:r w:rsidRPr="004C301E">
        <w:rPr>
          <w:b/>
          <w:sz w:val="24"/>
          <w:lang w:val="uk-UA"/>
        </w:rPr>
        <w:t>Політика управління комплаєнс-ризиком АТ «УНІВЕРСАЛ БАНК»</w:t>
      </w:r>
    </w:p>
    <w:p w:rsidR="00893CCF" w:rsidRPr="00102728" w:rsidRDefault="00893CCF" w:rsidP="002D17FE">
      <w:pPr>
        <w:pStyle w:val="ListParagraph"/>
        <w:ind w:left="284"/>
        <w:jc w:val="center"/>
        <w:rPr>
          <w:b/>
          <w:sz w:val="24"/>
          <w:lang w:val="uk-UA"/>
        </w:rPr>
      </w:pPr>
      <w:r w:rsidRPr="00102728">
        <w:rPr>
          <w:b/>
          <w:sz w:val="24"/>
          <w:lang w:val="uk-UA"/>
        </w:rPr>
        <w:t>(витяг)</w:t>
      </w:r>
    </w:p>
    <w:p w:rsidR="00893CCF" w:rsidRPr="00102728" w:rsidRDefault="00893CCF" w:rsidP="00893CCF">
      <w:pPr>
        <w:pStyle w:val="NoSpacing"/>
        <w:numPr>
          <w:ilvl w:val="1"/>
          <w:numId w:val="0"/>
        </w:numPr>
        <w:tabs>
          <w:tab w:val="left" w:pos="567"/>
        </w:tabs>
        <w:ind w:left="567" w:hanging="567"/>
        <w:rPr>
          <w:sz w:val="20"/>
          <w:szCs w:val="20"/>
          <w:lang w:val="uk-UA"/>
        </w:rPr>
      </w:pPr>
    </w:p>
    <w:p w:rsidR="00893CCF" w:rsidRDefault="00893CCF" w:rsidP="002B0325">
      <w:p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0"/>
          <w:szCs w:val="20"/>
        </w:rPr>
      </w:pPr>
      <w:r w:rsidRPr="002B0325">
        <w:rPr>
          <w:rFonts w:ascii="Times New Roman" w:hAnsi="Times New Roman" w:cs="Times New Roman"/>
          <w:sz w:val="20"/>
          <w:szCs w:val="20"/>
        </w:rPr>
        <w:t xml:space="preserve">1.2. Система управління комплаєнс-ризиком є невід’ємною складовою загальної стратегії управління ризиками Банку та є повністю інтегрованою у неї. Банк дотримується законодавства та високих стандартів при здійсненні діяльності і з метою захисту акціонерів, клієнтів та працівників Банку. </w:t>
      </w:r>
    </w:p>
    <w:p w:rsidR="002B0325" w:rsidRPr="002B0325" w:rsidRDefault="002B0325" w:rsidP="002B0325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893CCF" w:rsidRDefault="00893CCF" w:rsidP="002B0325">
      <w:p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0"/>
          <w:szCs w:val="20"/>
        </w:rPr>
      </w:pPr>
      <w:r w:rsidRPr="002B0325">
        <w:rPr>
          <w:rFonts w:ascii="Times New Roman" w:hAnsi="Times New Roman" w:cs="Times New Roman"/>
          <w:sz w:val="20"/>
          <w:szCs w:val="20"/>
          <w:lang w:val="ru-RU"/>
        </w:rPr>
        <w:t xml:space="preserve">1.3. </w:t>
      </w:r>
      <w:r w:rsidRPr="002B0325">
        <w:rPr>
          <w:rFonts w:ascii="Times New Roman" w:hAnsi="Times New Roman" w:cs="Times New Roman"/>
          <w:sz w:val="20"/>
          <w:szCs w:val="20"/>
        </w:rPr>
        <w:t>Комплаєнс починається з вищого керівництва Банку, яке власним прикладом демонструє відданість забезпеченню дотримання норм законодавства та внутрішніх нормативних документів Банку. Керівники Банку з метою дотримання, як керівниками Банку так і іншими працівниками Банку, культури управління комплаєнс-ризиком створюють необхідну атмосферу (tone at the top).</w:t>
      </w:r>
      <w:r w:rsidRPr="002B03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0325">
        <w:rPr>
          <w:rFonts w:ascii="Times New Roman" w:hAnsi="Times New Roman" w:cs="Times New Roman"/>
          <w:sz w:val="20"/>
          <w:szCs w:val="20"/>
        </w:rPr>
        <w:t xml:space="preserve">Наглядова Рада Банку створює комплексну, адекватну його розміру, бізнес-моделі, масштабу діяльності, видам, складності операцій Банку та ефективну систему управління комплаєнс-ризиком. Правління Банку забезпечує впровадження та ефективне функціонування системи управління комплаєнс-ризиком. Керівники Банку на власному прикладі демонструють дотримання визначених Банком принципів, правил, норм Банку, поширюють культуру управління </w:t>
      </w:r>
      <w:proofErr w:type="spellStart"/>
      <w:r w:rsidRPr="002B0325">
        <w:rPr>
          <w:rFonts w:ascii="Times New Roman" w:hAnsi="Times New Roman" w:cs="Times New Roman"/>
          <w:sz w:val="20"/>
          <w:szCs w:val="20"/>
        </w:rPr>
        <w:t>комплаєнс</w:t>
      </w:r>
      <w:proofErr w:type="spellEnd"/>
      <w:r w:rsidRPr="002B0325">
        <w:rPr>
          <w:rFonts w:ascii="Times New Roman" w:hAnsi="Times New Roman" w:cs="Times New Roman"/>
          <w:sz w:val="20"/>
          <w:szCs w:val="20"/>
        </w:rPr>
        <w:t>-ризиком у Банку.</w:t>
      </w:r>
    </w:p>
    <w:p w:rsidR="002B0325" w:rsidRPr="002B0325" w:rsidRDefault="002B0325" w:rsidP="002B0325">
      <w:p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0"/>
          <w:szCs w:val="20"/>
        </w:rPr>
      </w:pPr>
    </w:p>
    <w:p w:rsidR="00893CCF" w:rsidRPr="002B0325" w:rsidRDefault="00893CCF" w:rsidP="002B0325">
      <w:p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0"/>
          <w:szCs w:val="20"/>
        </w:rPr>
      </w:pPr>
      <w:r w:rsidRPr="002B0325">
        <w:rPr>
          <w:rFonts w:ascii="Times New Roman" w:hAnsi="Times New Roman" w:cs="Times New Roman"/>
          <w:sz w:val="20"/>
          <w:szCs w:val="20"/>
          <w:lang w:val="ru-RU"/>
        </w:rPr>
        <w:t xml:space="preserve">1.4. </w:t>
      </w:r>
      <w:r w:rsidRPr="002B0325">
        <w:rPr>
          <w:rFonts w:ascii="Times New Roman" w:hAnsi="Times New Roman" w:cs="Times New Roman"/>
          <w:sz w:val="20"/>
          <w:szCs w:val="20"/>
        </w:rPr>
        <w:t xml:space="preserve">Керівник кожного структурного підрозділу Банку на своєму рівні забезпечує підтримку належної культури управління комплаєнс-ризиками, яка:  </w:t>
      </w:r>
    </w:p>
    <w:p w:rsidR="00893CCF" w:rsidRPr="002B0325" w:rsidRDefault="00893CCF" w:rsidP="00893CCF">
      <w:pPr>
        <w:pStyle w:val="ListParagraph"/>
        <w:numPr>
          <w:ilvl w:val="0"/>
          <w:numId w:val="2"/>
        </w:numPr>
        <w:ind w:left="851" w:hanging="284"/>
        <w:rPr>
          <w:szCs w:val="20"/>
          <w:lang w:val="uk-UA"/>
        </w:rPr>
      </w:pPr>
      <w:r w:rsidRPr="002B0325">
        <w:rPr>
          <w:szCs w:val="20"/>
          <w:lang w:val="uk-UA"/>
        </w:rPr>
        <w:t>спрямована на забезпечення дотримання усіма працівниками Банку вимог законодавства, нормативно-правових актів, ринкових стандартів, правил добросовісної конкуренції, Кодексу поведінки (етики) Банку, внутрішніх нормативних документів;</w:t>
      </w:r>
    </w:p>
    <w:p w:rsidR="00893CCF" w:rsidRPr="002B0325" w:rsidRDefault="00893CCF" w:rsidP="00893CCF">
      <w:pPr>
        <w:pStyle w:val="ListParagraph"/>
        <w:numPr>
          <w:ilvl w:val="0"/>
          <w:numId w:val="2"/>
        </w:numPr>
        <w:ind w:left="851" w:hanging="284"/>
        <w:rPr>
          <w:szCs w:val="20"/>
          <w:lang w:val="uk-UA"/>
        </w:rPr>
      </w:pPr>
      <w:r w:rsidRPr="002B0325">
        <w:rPr>
          <w:szCs w:val="20"/>
          <w:lang w:val="uk-UA"/>
        </w:rPr>
        <w:t>спрямована на запобігання конфліктам інтересів в Банку;</w:t>
      </w:r>
    </w:p>
    <w:p w:rsidR="00893CCF" w:rsidRPr="002B0325" w:rsidRDefault="00893CCF" w:rsidP="00893CCF">
      <w:pPr>
        <w:pStyle w:val="ListParagraph"/>
        <w:numPr>
          <w:ilvl w:val="0"/>
          <w:numId w:val="2"/>
        </w:numPr>
        <w:ind w:left="851" w:hanging="284"/>
        <w:rPr>
          <w:szCs w:val="20"/>
          <w:lang w:val="uk-UA"/>
        </w:rPr>
      </w:pPr>
      <w:r w:rsidRPr="002B0325">
        <w:rPr>
          <w:szCs w:val="20"/>
          <w:lang w:val="uk-UA"/>
        </w:rPr>
        <w:t>сприяє постійному визнанню безумовної важливості дотримання регуляторних вимог всіма працівниками підрозділу;</w:t>
      </w:r>
    </w:p>
    <w:p w:rsidR="00893CCF" w:rsidRPr="002B0325" w:rsidRDefault="00893CCF" w:rsidP="00893CCF">
      <w:pPr>
        <w:pStyle w:val="ListParagraph"/>
        <w:numPr>
          <w:ilvl w:val="0"/>
          <w:numId w:val="2"/>
        </w:numPr>
        <w:ind w:left="851" w:hanging="284"/>
        <w:rPr>
          <w:szCs w:val="20"/>
          <w:lang w:val="uk-UA"/>
        </w:rPr>
      </w:pPr>
      <w:r w:rsidRPr="002B0325">
        <w:rPr>
          <w:szCs w:val="20"/>
          <w:lang w:val="uk-UA"/>
        </w:rPr>
        <w:t>сприяє поінформованості усіх працівників Банку щодо управління комплаєнс-ризиком;</w:t>
      </w:r>
    </w:p>
    <w:p w:rsidR="00893CCF" w:rsidRPr="002B0325" w:rsidRDefault="00893CCF" w:rsidP="00893CCF">
      <w:pPr>
        <w:pStyle w:val="ListParagraph"/>
        <w:numPr>
          <w:ilvl w:val="0"/>
          <w:numId w:val="2"/>
        </w:numPr>
        <w:ind w:left="851" w:hanging="284"/>
        <w:rPr>
          <w:szCs w:val="20"/>
          <w:lang w:val="uk-UA"/>
        </w:rPr>
      </w:pPr>
      <w:r w:rsidRPr="002B0325">
        <w:rPr>
          <w:szCs w:val="20"/>
          <w:lang w:val="uk-UA"/>
        </w:rPr>
        <w:t>створює умови для своєчасного виявлення та управління комплаєнс-ризиком.</w:t>
      </w:r>
    </w:p>
    <w:p w:rsidR="002B0325" w:rsidRDefault="002B0325" w:rsidP="000A74FB">
      <w:pPr>
        <w:numPr>
          <w:ilvl w:val="1"/>
          <w:numId w:val="0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893CCF" w:rsidRPr="002B0325" w:rsidRDefault="00893CCF" w:rsidP="000A74FB">
      <w:pPr>
        <w:numPr>
          <w:ilvl w:val="1"/>
          <w:numId w:val="0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B0325">
        <w:rPr>
          <w:rFonts w:ascii="Times New Roman" w:hAnsi="Times New Roman" w:cs="Times New Roman"/>
          <w:sz w:val="20"/>
          <w:szCs w:val="20"/>
        </w:rPr>
        <w:t>4.1. Метою Політики є впровадження ефективної системи управління комплаєнс-ризиком, спрямованої на досягнення комплаєнс-цілей діяльності Банку, які передбачають забезпечення:</w:t>
      </w:r>
    </w:p>
    <w:p w:rsidR="00893CCF" w:rsidRPr="002B0325" w:rsidRDefault="00893CCF" w:rsidP="00893CCF">
      <w:pPr>
        <w:pStyle w:val="ListParagraph"/>
        <w:numPr>
          <w:ilvl w:val="0"/>
          <w:numId w:val="2"/>
        </w:numPr>
        <w:ind w:left="851" w:hanging="284"/>
        <w:rPr>
          <w:szCs w:val="20"/>
          <w:lang w:val="uk-UA"/>
        </w:rPr>
      </w:pPr>
      <w:r w:rsidRPr="002B0325">
        <w:rPr>
          <w:szCs w:val="20"/>
          <w:lang w:val="uk-UA"/>
        </w:rPr>
        <w:t>високої культури управління комплаєнс-ризиком, включаючи забезпечення обізнаності та залучення членів Наглядової Ради, членів Правління Банку та інших працівників Банку до управління комплаєнс- ризиком, навчання працівників Банку з питань управління комплаєнс-ризиком;</w:t>
      </w:r>
    </w:p>
    <w:p w:rsidR="00893CCF" w:rsidRPr="002B0325" w:rsidRDefault="00893CCF" w:rsidP="00893CCF">
      <w:pPr>
        <w:pStyle w:val="ListParagraph"/>
        <w:numPr>
          <w:ilvl w:val="0"/>
          <w:numId w:val="2"/>
        </w:numPr>
        <w:ind w:left="851" w:hanging="284"/>
        <w:rPr>
          <w:szCs w:val="20"/>
          <w:lang w:val="uk-UA"/>
        </w:rPr>
      </w:pPr>
      <w:r w:rsidRPr="002B0325">
        <w:rPr>
          <w:szCs w:val="20"/>
          <w:lang w:val="uk-UA"/>
        </w:rPr>
        <w:t>організації діяльності Банку з дотриманням вимог законодавства України, нормативно-правових актів, ринкових стандартів;</w:t>
      </w:r>
    </w:p>
    <w:p w:rsidR="00893CCF" w:rsidRPr="002B0325" w:rsidRDefault="00893CCF" w:rsidP="00893CCF">
      <w:pPr>
        <w:pStyle w:val="ListParagraph"/>
        <w:numPr>
          <w:ilvl w:val="0"/>
          <w:numId w:val="2"/>
        </w:numPr>
        <w:ind w:left="851" w:hanging="284"/>
        <w:rPr>
          <w:szCs w:val="20"/>
          <w:lang w:val="uk-UA"/>
        </w:rPr>
      </w:pPr>
      <w:r w:rsidRPr="002B0325">
        <w:rPr>
          <w:szCs w:val="20"/>
          <w:lang w:val="uk-UA"/>
        </w:rPr>
        <w:t>дотримання Банком правил добросовісної конкуренції;</w:t>
      </w:r>
    </w:p>
    <w:p w:rsidR="00893CCF" w:rsidRPr="002B0325" w:rsidRDefault="00893CCF" w:rsidP="00893CCF">
      <w:pPr>
        <w:pStyle w:val="ListParagraph"/>
        <w:numPr>
          <w:ilvl w:val="0"/>
          <w:numId w:val="2"/>
        </w:numPr>
        <w:ind w:left="851" w:hanging="284"/>
        <w:rPr>
          <w:szCs w:val="20"/>
          <w:lang w:val="uk-UA"/>
        </w:rPr>
      </w:pPr>
      <w:r w:rsidRPr="002B0325">
        <w:rPr>
          <w:szCs w:val="20"/>
          <w:lang w:val="uk-UA"/>
        </w:rPr>
        <w:t>дотримання всіма керівниками, працівниками та контрагентами Банку Кодексу поведінки (етики) Банку;</w:t>
      </w:r>
    </w:p>
    <w:p w:rsidR="00893CCF" w:rsidRPr="002B0325" w:rsidRDefault="00893CCF" w:rsidP="00893CCF">
      <w:pPr>
        <w:pStyle w:val="ListParagraph"/>
        <w:numPr>
          <w:ilvl w:val="0"/>
          <w:numId w:val="2"/>
        </w:numPr>
        <w:ind w:left="851" w:hanging="284"/>
        <w:rPr>
          <w:szCs w:val="20"/>
          <w:lang w:val="uk-UA"/>
        </w:rPr>
      </w:pPr>
      <w:r w:rsidRPr="002B0325">
        <w:rPr>
          <w:szCs w:val="20"/>
          <w:lang w:val="uk-UA"/>
        </w:rPr>
        <w:t>запобігання конфліктам інтересів;</w:t>
      </w:r>
    </w:p>
    <w:p w:rsidR="00893CCF" w:rsidRPr="002B0325" w:rsidRDefault="00893CCF" w:rsidP="00893CCF">
      <w:pPr>
        <w:pStyle w:val="ListParagraph"/>
        <w:numPr>
          <w:ilvl w:val="0"/>
          <w:numId w:val="2"/>
        </w:numPr>
        <w:ind w:left="851" w:hanging="284"/>
        <w:rPr>
          <w:szCs w:val="20"/>
          <w:lang w:val="uk-UA"/>
        </w:rPr>
      </w:pPr>
      <w:r w:rsidRPr="002B0325">
        <w:rPr>
          <w:szCs w:val="20"/>
          <w:lang w:val="uk-UA"/>
        </w:rPr>
        <w:t>дотримання внутрішніх нормативних документів Банку;</w:t>
      </w:r>
    </w:p>
    <w:p w:rsidR="00893CCF" w:rsidRPr="002B0325" w:rsidRDefault="00893CCF" w:rsidP="00893CCF">
      <w:pPr>
        <w:pStyle w:val="ListParagraph"/>
        <w:numPr>
          <w:ilvl w:val="0"/>
          <w:numId w:val="2"/>
        </w:numPr>
        <w:ind w:left="851" w:hanging="284"/>
        <w:rPr>
          <w:szCs w:val="20"/>
          <w:lang w:val="uk-UA"/>
        </w:rPr>
      </w:pPr>
      <w:r w:rsidRPr="002B0325">
        <w:rPr>
          <w:szCs w:val="20"/>
          <w:lang w:val="uk-UA"/>
        </w:rPr>
        <w:t>формування позитивної ділової репутації Банку у клієнтів, контрагентів, акціонерів, інвесторів та органів нагляду;</w:t>
      </w:r>
    </w:p>
    <w:p w:rsidR="00893CCF" w:rsidRPr="002B0325" w:rsidRDefault="00893CCF" w:rsidP="00893CCF">
      <w:pPr>
        <w:pStyle w:val="ListParagraph"/>
        <w:numPr>
          <w:ilvl w:val="0"/>
          <w:numId w:val="2"/>
        </w:numPr>
        <w:ind w:left="851" w:hanging="284"/>
        <w:rPr>
          <w:szCs w:val="20"/>
          <w:lang w:val="uk-UA"/>
        </w:rPr>
      </w:pPr>
      <w:r w:rsidRPr="002B0325">
        <w:rPr>
          <w:szCs w:val="20"/>
          <w:lang w:val="uk-UA"/>
        </w:rPr>
        <w:t>утримання комплаєнс-ризику на рівні, що не представляє загрози для фінансової стійкості Банку.</w:t>
      </w:r>
    </w:p>
    <w:p w:rsidR="00893CCF" w:rsidRPr="002B0325" w:rsidRDefault="00893CCF" w:rsidP="000A74FB">
      <w:pPr>
        <w:pStyle w:val="Normalnumber"/>
        <w:numPr>
          <w:ilvl w:val="0"/>
          <w:numId w:val="0"/>
        </w:numPr>
        <w:ind w:left="360" w:hanging="360"/>
        <w:rPr>
          <w:b/>
        </w:rPr>
      </w:pPr>
      <w:bookmarkStart w:id="1" w:name="_Toc533067142"/>
      <w:bookmarkEnd w:id="1"/>
    </w:p>
    <w:p w:rsidR="00893CCF" w:rsidRPr="002B0325" w:rsidRDefault="00893CCF" w:rsidP="004216FD">
      <w:pPr>
        <w:numPr>
          <w:ilvl w:val="1"/>
          <w:numId w:val="0"/>
        </w:numPr>
        <w:spacing w:line="240" w:lineRule="auto"/>
        <w:ind w:left="284"/>
        <w:jc w:val="both"/>
        <w:rPr>
          <w:sz w:val="20"/>
          <w:szCs w:val="20"/>
          <w:u w:val="single"/>
        </w:rPr>
      </w:pPr>
      <w:r w:rsidRPr="002B0325">
        <w:rPr>
          <w:rFonts w:ascii="Times New Roman" w:hAnsi="Times New Roman" w:cs="Times New Roman"/>
          <w:sz w:val="20"/>
          <w:szCs w:val="20"/>
          <w:lang w:val="ru-RU"/>
        </w:rPr>
        <w:t xml:space="preserve">5.1. </w:t>
      </w:r>
      <w:r w:rsidRPr="002B0325">
        <w:rPr>
          <w:rFonts w:ascii="Times New Roman" w:hAnsi="Times New Roman" w:cs="Times New Roman"/>
          <w:sz w:val="20"/>
          <w:szCs w:val="20"/>
        </w:rPr>
        <w:t>Банк створює комплексну, адекватну та ефективну систему управління комплаєнс-ризиком, яка ґрунтується на таких принципах:</w:t>
      </w:r>
    </w:p>
    <w:p w:rsidR="00893CCF" w:rsidRPr="002B0325" w:rsidRDefault="00893CCF" w:rsidP="00893CCF">
      <w:pPr>
        <w:pStyle w:val="ListParagraph"/>
        <w:numPr>
          <w:ilvl w:val="0"/>
          <w:numId w:val="4"/>
        </w:numPr>
        <w:ind w:left="714" w:hanging="357"/>
        <w:contextualSpacing w:val="0"/>
        <w:rPr>
          <w:szCs w:val="20"/>
        </w:rPr>
      </w:pPr>
      <w:r w:rsidRPr="002B0325">
        <w:rPr>
          <w:b/>
          <w:szCs w:val="20"/>
          <w:lang w:val="uk-UA"/>
        </w:rPr>
        <w:t xml:space="preserve">Ефективність. </w:t>
      </w:r>
      <w:r w:rsidRPr="002B0325">
        <w:rPr>
          <w:szCs w:val="20"/>
          <w:lang w:val="uk-UA"/>
        </w:rPr>
        <w:t xml:space="preserve">Банк забезпечує об'єктивну оцінку розміру комплаєнс-ризику Банку та повноту заходів щодо управління комплаєнс-ризиком з оптимальним використанням фінансових ресурсів, персоналу та інформаційних систем щодо управління комплаєнс-ризиком Банку. Банк забезпечує організацію постійного процесу комплаєнс-контролю, інтегрованого в поточну діяльність, та зрозумілого на усіх організаційних рівнях Банку. Всі інструменти та методи комплаєнс-контролю розробляються та затверджуються у вигляді окремих внутрішніх нормативних документів або зазначаються безпосередньо у внутрішніх нормативних документах для відповідних бізнес-процесів. </w:t>
      </w:r>
    </w:p>
    <w:p w:rsidR="00893CCF" w:rsidRPr="002B0325" w:rsidRDefault="00893CCF" w:rsidP="00893CCF">
      <w:pPr>
        <w:pStyle w:val="ListParagraph"/>
        <w:numPr>
          <w:ilvl w:val="0"/>
          <w:numId w:val="4"/>
        </w:numPr>
        <w:ind w:left="714" w:hanging="357"/>
        <w:contextualSpacing w:val="0"/>
        <w:rPr>
          <w:szCs w:val="20"/>
          <w:lang w:val="uk-UA"/>
        </w:rPr>
      </w:pPr>
      <w:r w:rsidRPr="002B0325">
        <w:rPr>
          <w:b/>
          <w:szCs w:val="20"/>
          <w:lang w:val="uk-UA"/>
        </w:rPr>
        <w:t>Своєчасність.</w:t>
      </w:r>
      <w:r w:rsidRPr="002B0325">
        <w:rPr>
          <w:szCs w:val="20"/>
          <w:lang w:val="uk-UA"/>
        </w:rPr>
        <w:t xml:space="preserve"> Банк забезпечує своєчасне (на ранній стадії) виявлення, вимірювання, моніторинг, контроль, звітування та пом'якшення комплаєнс-ризику на всіх організаційних рівнях для попередження негативних наслідків від реалізації комплаєнс-ризику. Банк надає першочергове значення попереджувальним діям, завдяки яким має уникнути ризиків юридичних, адміністративних або дисциплінарних санкцій, суттєвих фінансових втрат або шкоди репутації, спричинених </w:t>
      </w:r>
      <w:r w:rsidRPr="002B0325">
        <w:rPr>
          <w:szCs w:val="20"/>
          <w:lang w:val="uk-UA"/>
        </w:rPr>
        <w:lastRenderedPageBreak/>
        <w:t>невиконанням Банком вимог законодавства, нормативно-правових актів, ринкових стандартів, правил добросовісної конкуренції, Кодексу поведінки (етики) Банку, виникнення конфлікту інтересів.</w:t>
      </w:r>
    </w:p>
    <w:p w:rsidR="00893CCF" w:rsidRPr="002B0325" w:rsidRDefault="00893CCF" w:rsidP="00893CCF">
      <w:pPr>
        <w:pStyle w:val="ListParagraph"/>
        <w:numPr>
          <w:ilvl w:val="0"/>
          <w:numId w:val="4"/>
        </w:numPr>
        <w:ind w:left="714" w:hanging="357"/>
        <w:contextualSpacing w:val="0"/>
        <w:rPr>
          <w:szCs w:val="20"/>
          <w:lang w:val="uk-UA"/>
        </w:rPr>
      </w:pPr>
      <w:r w:rsidRPr="002B0325">
        <w:rPr>
          <w:b/>
          <w:szCs w:val="20"/>
          <w:lang w:val="uk-UA"/>
        </w:rPr>
        <w:t>Структурованість.</w:t>
      </w:r>
      <w:r w:rsidRPr="002B0325">
        <w:rPr>
          <w:szCs w:val="20"/>
          <w:lang w:val="uk-UA"/>
        </w:rPr>
        <w:t xml:space="preserve"> Система управління комплаєнс-ризиком передбачає чіткий розподіл функцій, обов’язків і повноважень з питань управління комплаєнс-ризиком між усіма структурними підрозділами та працівниками Банку, їх відповідальності згідно з таким розподілом. </w:t>
      </w:r>
    </w:p>
    <w:p w:rsidR="00893CCF" w:rsidRPr="002B0325" w:rsidRDefault="00893CCF" w:rsidP="00893CCF">
      <w:pPr>
        <w:pStyle w:val="ListParagraph"/>
        <w:numPr>
          <w:ilvl w:val="0"/>
          <w:numId w:val="4"/>
        </w:numPr>
        <w:ind w:left="714" w:hanging="357"/>
        <w:contextualSpacing w:val="0"/>
        <w:rPr>
          <w:szCs w:val="20"/>
        </w:rPr>
      </w:pPr>
      <w:r w:rsidRPr="002B0325">
        <w:rPr>
          <w:b/>
          <w:szCs w:val="20"/>
          <w:lang w:val="uk-UA"/>
        </w:rPr>
        <w:t>Розмежування обов'язків (відокремлення функції контролю від здійснення операцій Банку).</w:t>
      </w:r>
      <w:r w:rsidRPr="002B0325">
        <w:rPr>
          <w:szCs w:val="20"/>
          <w:lang w:val="uk-UA"/>
        </w:rPr>
        <w:t xml:space="preserve"> Банк забезпечує уникнення ситуації, за якої одна й та сама особа здійснює операції Банку та виконує функції контролю.</w:t>
      </w:r>
    </w:p>
    <w:p w:rsidR="00893CCF" w:rsidRPr="002B0325" w:rsidRDefault="00893CCF" w:rsidP="00893CCF">
      <w:pPr>
        <w:pStyle w:val="ListParagraph"/>
        <w:numPr>
          <w:ilvl w:val="0"/>
          <w:numId w:val="4"/>
        </w:numPr>
        <w:ind w:left="714" w:hanging="357"/>
        <w:contextualSpacing w:val="0"/>
        <w:rPr>
          <w:szCs w:val="20"/>
          <w:lang w:val="uk-UA"/>
        </w:rPr>
      </w:pPr>
      <w:r w:rsidRPr="002B0325">
        <w:rPr>
          <w:b/>
          <w:szCs w:val="20"/>
          <w:lang w:val="uk-UA"/>
        </w:rPr>
        <w:t>Усебічність та комплексність.</w:t>
      </w:r>
      <w:r w:rsidRPr="002B0325">
        <w:rPr>
          <w:szCs w:val="20"/>
          <w:lang w:val="uk-UA"/>
        </w:rPr>
        <w:t xml:space="preserve"> Процес управління комплаєнс-ризиком охоплює всі види діяльності Банку на всіх організаційних рівнях для всіх структурних підрозділів Банку. Банком здійснюється оцінка взаємного впливу ризиків. Під час нагляду за дотриманням принципів управління комплаєнс-ризиком, Банк, за необхідності, переглядає основні засади та методи комплаєнс-контролю з метою виявлення та урегулювання комплаєнс-ризику, а також визначення аспектів, що потребують удосконалення.</w:t>
      </w:r>
    </w:p>
    <w:p w:rsidR="00893CCF" w:rsidRPr="002B0325" w:rsidRDefault="00893CCF" w:rsidP="00893CCF">
      <w:pPr>
        <w:pStyle w:val="ListParagraph"/>
        <w:numPr>
          <w:ilvl w:val="0"/>
          <w:numId w:val="5"/>
        </w:numPr>
        <w:ind w:left="714" w:hanging="357"/>
        <w:contextualSpacing w:val="0"/>
        <w:rPr>
          <w:szCs w:val="20"/>
        </w:rPr>
      </w:pPr>
      <w:r w:rsidRPr="002B0325">
        <w:rPr>
          <w:b/>
          <w:szCs w:val="20"/>
          <w:lang w:val="uk-UA"/>
        </w:rPr>
        <w:t>Незалежність.</w:t>
      </w:r>
      <w:r w:rsidRPr="002B0325">
        <w:rPr>
          <w:szCs w:val="20"/>
          <w:lang w:val="uk-UA"/>
        </w:rPr>
        <w:t xml:space="preserve"> Наглядова Рада Банку забезпечує свободу від обставин, що становлять загрозу для неупередженого виконання головним комплаєнс-менеджером (далі – ССО) та Департаментом комплаєнс своїх функцій через:</w:t>
      </w:r>
    </w:p>
    <w:p w:rsidR="00893CCF" w:rsidRPr="002B0325" w:rsidRDefault="00893CCF" w:rsidP="00893CCF">
      <w:pPr>
        <w:pStyle w:val="ListParagraph"/>
        <w:numPr>
          <w:ilvl w:val="1"/>
          <w:numId w:val="6"/>
        </w:numPr>
        <w:rPr>
          <w:szCs w:val="20"/>
          <w:lang w:val="uk-UA"/>
        </w:rPr>
      </w:pPr>
      <w:r w:rsidRPr="002B0325">
        <w:rPr>
          <w:szCs w:val="20"/>
          <w:lang w:val="uk-UA"/>
        </w:rPr>
        <w:t>підпорядкування Департаменту комплаєнс ССО, ССО - Наглядовій Раді Банку;</w:t>
      </w:r>
    </w:p>
    <w:p w:rsidR="00893CCF" w:rsidRPr="002B0325" w:rsidRDefault="00893CCF" w:rsidP="00893CCF">
      <w:pPr>
        <w:pStyle w:val="ListParagraph"/>
        <w:numPr>
          <w:ilvl w:val="1"/>
          <w:numId w:val="6"/>
        </w:numPr>
        <w:rPr>
          <w:szCs w:val="20"/>
          <w:lang w:val="uk-UA"/>
        </w:rPr>
      </w:pPr>
      <w:r w:rsidRPr="002B0325">
        <w:rPr>
          <w:szCs w:val="20"/>
          <w:lang w:val="uk-UA"/>
        </w:rPr>
        <w:t>звітування ССО перед  Наглядовою Радою Банку;</w:t>
      </w:r>
    </w:p>
    <w:p w:rsidR="00893CCF" w:rsidRPr="002B0325" w:rsidRDefault="00893CCF" w:rsidP="00893CCF">
      <w:pPr>
        <w:pStyle w:val="ListParagraph"/>
        <w:numPr>
          <w:ilvl w:val="1"/>
          <w:numId w:val="6"/>
        </w:numPr>
        <w:rPr>
          <w:szCs w:val="20"/>
          <w:lang w:val="uk-UA"/>
        </w:rPr>
      </w:pPr>
      <w:r w:rsidRPr="002B0325">
        <w:rPr>
          <w:szCs w:val="20"/>
          <w:lang w:val="uk-UA"/>
        </w:rPr>
        <w:t>надання ССО та  Департаменту комплаєнс прямої та необмеженої можливості обговорення питань щодо ризиків безпосередньо з Наглядовою Радою Банку без необхідності (обов'язку) інформування про це членів Правління Банку;</w:t>
      </w:r>
    </w:p>
    <w:p w:rsidR="00893CCF" w:rsidRPr="002B0325" w:rsidRDefault="00893CCF" w:rsidP="00893CCF">
      <w:pPr>
        <w:pStyle w:val="ListParagraph"/>
        <w:numPr>
          <w:ilvl w:val="1"/>
          <w:numId w:val="6"/>
        </w:numPr>
        <w:rPr>
          <w:szCs w:val="20"/>
          <w:lang w:val="uk-UA"/>
        </w:rPr>
      </w:pPr>
      <w:r w:rsidRPr="002B0325">
        <w:rPr>
          <w:szCs w:val="20"/>
          <w:lang w:val="uk-UA"/>
        </w:rPr>
        <w:t>організаційного та функціонального відокремлення ССО та Департаменту комплаєнс від підрозділів (керівників підрозділів) першої та третьої ліній захисту;</w:t>
      </w:r>
    </w:p>
    <w:p w:rsidR="00893CCF" w:rsidRPr="002B0325" w:rsidRDefault="00893CCF" w:rsidP="00893CCF">
      <w:pPr>
        <w:pStyle w:val="ListParagraph"/>
        <w:numPr>
          <w:ilvl w:val="1"/>
          <w:numId w:val="6"/>
        </w:numPr>
        <w:rPr>
          <w:szCs w:val="20"/>
          <w:lang w:val="uk-UA"/>
        </w:rPr>
      </w:pPr>
      <w:r w:rsidRPr="002B0325">
        <w:rPr>
          <w:szCs w:val="20"/>
          <w:lang w:val="uk-UA"/>
        </w:rPr>
        <w:t>забезпечення достатньої чисельності працівників Департаменту комплаєнс і рівня їх кваліфікації для досягнення цілей і завдань, поставлених перед ними;</w:t>
      </w:r>
    </w:p>
    <w:p w:rsidR="00893CCF" w:rsidRPr="002B0325" w:rsidRDefault="00893CCF" w:rsidP="00893CCF">
      <w:pPr>
        <w:pStyle w:val="ListParagraph"/>
        <w:numPr>
          <w:ilvl w:val="1"/>
          <w:numId w:val="6"/>
        </w:numPr>
        <w:rPr>
          <w:szCs w:val="20"/>
          <w:lang w:val="uk-UA"/>
        </w:rPr>
      </w:pPr>
      <w:r w:rsidRPr="002B0325">
        <w:rPr>
          <w:szCs w:val="20"/>
          <w:lang w:val="uk-UA"/>
        </w:rPr>
        <w:t>урахування в бюджеті Банку достатнього розміру фінансового забезпечення/винагороди ССО та працівників Департаменту комплаєнс. Винагорода ССО та працівників Департаменту комплаєнс не повинна залежати від результатів роботи бізнес-підрозділів, які є об'єктом їх контролю, та має сприяти комплектуванню Департаменту комплаєнс кваліфікованими працівниками відповідного профілю. Змінна частина винагороди ССО та працівників Департаменту комплаєнс має переважно базуватися на досягнутих результатах їх діяльності;</w:t>
      </w:r>
    </w:p>
    <w:p w:rsidR="00893CCF" w:rsidRPr="002B0325" w:rsidRDefault="00893CCF" w:rsidP="00893CCF">
      <w:pPr>
        <w:pStyle w:val="ListParagraph"/>
        <w:numPr>
          <w:ilvl w:val="1"/>
          <w:numId w:val="6"/>
        </w:numPr>
        <w:rPr>
          <w:szCs w:val="20"/>
          <w:lang w:val="uk-UA"/>
        </w:rPr>
      </w:pPr>
      <w:r w:rsidRPr="002B0325">
        <w:rPr>
          <w:szCs w:val="20"/>
          <w:lang w:val="uk-UA"/>
        </w:rPr>
        <w:t>гарантування доступу ССО та працівників Департаменту комплаєнс до інформації, необхідної для їх ефективної роботи. Керівники та працівники Банку мають сприяти в наданні такої інформації;</w:t>
      </w:r>
    </w:p>
    <w:p w:rsidR="00893CCF" w:rsidRPr="002B0325" w:rsidRDefault="00893CCF" w:rsidP="00893CCF">
      <w:pPr>
        <w:pStyle w:val="ListParagraph"/>
        <w:numPr>
          <w:ilvl w:val="1"/>
          <w:numId w:val="6"/>
        </w:numPr>
        <w:rPr>
          <w:szCs w:val="20"/>
          <w:lang w:val="uk-UA"/>
        </w:rPr>
      </w:pPr>
      <w:r w:rsidRPr="002B0325">
        <w:rPr>
          <w:szCs w:val="20"/>
          <w:lang w:val="uk-UA"/>
        </w:rPr>
        <w:t xml:space="preserve">недопущення ССО та працівників Департаменту комплаєнс до здійснення функцій контролю за тими операціями, за які вони раніше безпосередньо несли відповідальність або стосовно яких раніше ухвалювали рішення на першій лінії захисту, з метою запобігання конфлікту інтересів.  </w:t>
      </w:r>
    </w:p>
    <w:p w:rsidR="00893CCF" w:rsidRPr="002B0325" w:rsidRDefault="00893CCF" w:rsidP="00893CCF">
      <w:pPr>
        <w:pStyle w:val="ListParagraph"/>
        <w:numPr>
          <w:ilvl w:val="0"/>
          <w:numId w:val="4"/>
        </w:numPr>
        <w:rPr>
          <w:szCs w:val="20"/>
          <w:lang w:val="uk-UA"/>
        </w:rPr>
      </w:pPr>
      <w:r w:rsidRPr="002B0325">
        <w:rPr>
          <w:b/>
          <w:szCs w:val="20"/>
          <w:lang w:val="uk-UA"/>
        </w:rPr>
        <w:t xml:space="preserve">Конфіденційність. </w:t>
      </w:r>
      <w:r w:rsidRPr="002B0325">
        <w:rPr>
          <w:szCs w:val="20"/>
          <w:lang w:val="uk-UA"/>
        </w:rPr>
        <w:t xml:space="preserve">Банк забезпечує обмеження доступу до інформації, яка має бути захищеною від несанкціонованого ознайомлення. </w:t>
      </w:r>
    </w:p>
    <w:p w:rsidR="00893CCF" w:rsidRPr="002B0325" w:rsidRDefault="00893CCF" w:rsidP="00893CCF">
      <w:pPr>
        <w:pStyle w:val="ListParagraph"/>
        <w:numPr>
          <w:ilvl w:val="0"/>
          <w:numId w:val="4"/>
        </w:numPr>
        <w:rPr>
          <w:szCs w:val="20"/>
          <w:lang w:val="uk-UA"/>
        </w:rPr>
      </w:pPr>
      <w:r w:rsidRPr="002B0325">
        <w:rPr>
          <w:b/>
          <w:szCs w:val="20"/>
          <w:lang w:val="uk-UA"/>
        </w:rPr>
        <w:t xml:space="preserve">Прозорість та доступність. </w:t>
      </w:r>
      <w:r w:rsidRPr="002B0325">
        <w:rPr>
          <w:szCs w:val="20"/>
          <w:lang w:val="uk-UA"/>
        </w:rPr>
        <w:t>Діяльність усіх працівників Банку є абсолютно прозорою та направленою на недопущення порушень вимог законодавства, внутрішніх нормативних документів та відповідних стандартів професійних об'єднань, дія яких поширюється на Банк, та мінімізацію комплаєнс-ризику. Банк розкриває інформацію про систему управління комплаєнс-ризиком відповідно до вимог чинного законодавства, регуляторних вимог, внутрішніх нормативних документів. Забезпечення систематичного інформування всіх працівників про цю Політику та процедури з управління комплаєнс-ризиками.</w:t>
      </w:r>
    </w:p>
    <w:p w:rsidR="00893CCF" w:rsidRPr="002B0325" w:rsidRDefault="00893CCF" w:rsidP="00893CCF">
      <w:pPr>
        <w:pStyle w:val="ListParagraph"/>
        <w:numPr>
          <w:ilvl w:val="0"/>
          <w:numId w:val="4"/>
        </w:numPr>
        <w:rPr>
          <w:szCs w:val="20"/>
          <w:lang w:val="uk-UA"/>
        </w:rPr>
      </w:pPr>
      <w:r w:rsidRPr="002B0325">
        <w:rPr>
          <w:b/>
          <w:szCs w:val="20"/>
          <w:lang w:val="uk-UA"/>
        </w:rPr>
        <w:t>Пропорційність.</w:t>
      </w:r>
      <w:r w:rsidRPr="002B0325">
        <w:rPr>
          <w:szCs w:val="20"/>
          <w:lang w:val="uk-UA"/>
        </w:rPr>
        <w:t xml:space="preserve"> Банк створює систему управління комплаєнс-ризиком, яка відповідає його бізнес-моделі, системній важливості, рівню складності операцій, що здійснюються Банком.</w:t>
      </w:r>
    </w:p>
    <w:p w:rsidR="00893CCF" w:rsidRPr="002B0325" w:rsidRDefault="00893CCF" w:rsidP="00893CCF">
      <w:pPr>
        <w:pStyle w:val="ListParagraph"/>
        <w:numPr>
          <w:ilvl w:val="0"/>
          <w:numId w:val="4"/>
        </w:numPr>
        <w:rPr>
          <w:szCs w:val="20"/>
          <w:lang w:val="uk-UA"/>
        </w:rPr>
      </w:pPr>
      <w:r w:rsidRPr="002B0325">
        <w:rPr>
          <w:b/>
          <w:szCs w:val="20"/>
          <w:lang w:val="uk-UA"/>
        </w:rPr>
        <w:t xml:space="preserve">Наявність ресурсів. </w:t>
      </w:r>
      <w:r w:rsidRPr="002B0325">
        <w:rPr>
          <w:szCs w:val="20"/>
          <w:lang w:val="uk-UA"/>
        </w:rPr>
        <w:t>Для ефективного виконання обов’язків у напрямку комплаєнс Банк забезпечує Департамент комплаєнс всіма необхідними ресурсами для розробки, реалізації, застосування, моніторингу і постійного покращення системи управління комплаєнс-ризиком, організаційних та технічних засобів, які в них використовуються, та не створюються штучні обмеження і перешкоди для виконання таких процесів.</w:t>
      </w:r>
    </w:p>
    <w:p w:rsidR="00893CCF" w:rsidRPr="002B0325" w:rsidRDefault="00893CCF" w:rsidP="00893CCF">
      <w:pPr>
        <w:pStyle w:val="ListParagraph"/>
        <w:numPr>
          <w:ilvl w:val="0"/>
          <w:numId w:val="4"/>
        </w:numPr>
        <w:rPr>
          <w:szCs w:val="20"/>
          <w:lang w:val="uk-UA"/>
        </w:rPr>
      </w:pPr>
      <w:r w:rsidRPr="002B0325">
        <w:rPr>
          <w:b/>
          <w:szCs w:val="20"/>
          <w:lang w:val="uk-UA"/>
        </w:rPr>
        <w:t xml:space="preserve">Тон зверху (tone at the top). </w:t>
      </w:r>
      <w:r w:rsidRPr="002B0325">
        <w:rPr>
          <w:szCs w:val="20"/>
          <w:lang w:val="uk-UA"/>
        </w:rPr>
        <w:t>Керівники Банку з метою дотримання, як керівниками Банку так і іншими працівниками Банку, культури управління ризиками створюють необхідну атмосферу (tone at the top)</w:t>
      </w:r>
      <w:r w:rsidRPr="002B0325">
        <w:rPr>
          <w:b/>
          <w:szCs w:val="20"/>
          <w:lang w:val="uk-UA"/>
        </w:rPr>
        <w:t>.</w:t>
      </w:r>
      <w:r w:rsidRPr="002B0325">
        <w:rPr>
          <w:szCs w:val="20"/>
          <w:lang w:val="uk-UA"/>
        </w:rPr>
        <w:t xml:space="preserve"> Комплаєнс забезпечується керівниками Банку. Керівники Банку на власному прикладі демонструють прихильність забезпеченню відповідності своєї діяльності встановленим вимогам, поширюють культуру управління комплаєнс-ризиком працівникам та несуть відповідальність за створення постійної та ефективної системи управління комплаєнс-ризиком.</w:t>
      </w:r>
    </w:p>
    <w:p w:rsidR="00893CCF" w:rsidRPr="002B0325" w:rsidRDefault="00893CCF" w:rsidP="00893CCF">
      <w:pPr>
        <w:pStyle w:val="ListParagraph"/>
        <w:numPr>
          <w:ilvl w:val="0"/>
          <w:numId w:val="4"/>
        </w:numPr>
        <w:rPr>
          <w:szCs w:val="20"/>
          <w:lang w:val="uk-UA"/>
        </w:rPr>
      </w:pPr>
      <w:r w:rsidRPr="002B0325">
        <w:rPr>
          <w:b/>
          <w:szCs w:val="20"/>
          <w:lang w:val="uk-UA"/>
        </w:rPr>
        <w:t>Гнучкість</w:t>
      </w:r>
      <w:r w:rsidRPr="002B0325">
        <w:rPr>
          <w:szCs w:val="20"/>
          <w:lang w:val="uk-UA"/>
        </w:rPr>
        <w:t>. У випадку зміни внутрішніх і зовнішніх факторів, що впливають на управління комплаєнс-ризиком, Банк  повинен вживати оперативних заходів для забезпечення ефективності процесу управління комплаєнс-ризиком  із врахуванням нових обставин.</w:t>
      </w:r>
    </w:p>
    <w:p w:rsidR="00893CCF" w:rsidRPr="002B0325" w:rsidRDefault="00893CCF" w:rsidP="000A74FB">
      <w:pPr>
        <w:pStyle w:val="Normalnumber"/>
        <w:numPr>
          <w:ilvl w:val="0"/>
          <w:numId w:val="0"/>
        </w:numPr>
        <w:ind w:left="360" w:hanging="360"/>
      </w:pPr>
    </w:p>
    <w:p w:rsidR="002C4413" w:rsidRPr="002B0325" w:rsidRDefault="002C4413" w:rsidP="004216FD">
      <w:pPr>
        <w:pStyle w:val="Heading3"/>
        <w:numPr>
          <w:ilvl w:val="0"/>
          <w:numId w:val="9"/>
        </w:numPr>
        <w:rPr>
          <w:szCs w:val="20"/>
        </w:rPr>
      </w:pPr>
      <w:bookmarkStart w:id="2" w:name="_Toc107469638"/>
      <w:bookmarkStart w:id="3" w:name="_Toc533080869"/>
      <w:r w:rsidRPr="002B0325">
        <w:rPr>
          <w:szCs w:val="20"/>
          <w:lang w:val="uk-UA"/>
        </w:rPr>
        <w:lastRenderedPageBreak/>
        <w:t>ОРГАНІЗАЦІЙНА СТРУКТУРА СИСТЕМИ УПРАВЛІННЯ КОМПЛАЄНС-РИЗИКОМ</w:t>
      </w:r>
      <w:bookmarkEnd w:id="2"/>
      <w:bookmarkEnd w:id="3"/>
    </w:p>
    <w:p w:rsidR="002C4413" w:rsidRPr="002B0325" w:rsidRDefault="002C4413" w:rsidP="004216FD">
      <w:pPr>
        <w:pStyle w:val="ListParagraph"/>
        <w:numPr>
          <w:ilvl w:val="1"/>
          <w:numId w:val="9"/>
        </w:numPr>
        <w:ind w:left="641" w:hanging="357"/>
        <w:rPr>
          <w:szCs w:val="20"/>
        </w:rPr>
      </w:pPr>
      <w:r w:rsidRPr="002B0325">
        <w:rPr>
          <w:szCs w:val="20"/>
        </w:rPr>
        <w:t>Банк на всіх організаційних рівнях (уключаючи Банк у цілому, підрозділи Банку, працівників Банку) виявляє комплаєнс-ризик та визначає заходи щодо управління ним. Банк при визначенні організаційної структури системи управління комплаєнс-ризиком забезпечує чіткий розподіл функцій, обов’язків і повноважень між суб’єктами системи управління комплаєнс-ризиком, та передбачає їх відповідальність згідно з розподілом зон відповідальності, визначених цією Політикою та іншими ВНД з питань управління комплаєнс-ризиком, та порядок взаємодії між суб’єктами системи управління комплаєнс-ризиком.</w:t>
      </w:r>
    </w:p>
    <w:p w:rsidR="002C4413" w:rsidRPr="002B0325" w:rsidRDefault="002C4413" w:rsidP="004216FD">
      <w:pPr>
        <w:pStyle w:val="ListParagraph"/>
        <w:numPr>
          <w:ilvl w:val="1"/>
          <w:numId w:val="9"/>
        </w:numPr>
        <w:ind w:left="641" w:hanging="357"/>
        <w:rPr>
          <w:szCs w:val="20"/>
        </w:rPr>
      </w:pPr>
      <w:r w:rsidRPr="002B0325">
        <w:rPr>
          <w:szCs w:val="20"/>
        </w:rPr>
        <w:t>Передача функції щодо управління комплаєнс-ризиком Банку на аутсорсинг не допускається.</w:t>
      </w:r>
    </w:p>
    <w:p w:rsidR="002C4413" w:rsidRPr="002B0325" w:rsidRDefault="002C4413" w:rsidP="004216FD">
      <w:pPr>
        <w:pStyle w:val="ListParagraph"/>
        <w:numPr>
          <w:ilvl w:val="1"/>
          <w:numId w:val="9"/>
        </w:numPr>
        <w:ind w:left="641" w:hanging="357"/>
        <w:rPr>
          <w:szCs w:val="20"/>
        </w:rPr>
      </w:pPr>
      <w:r w:rsidRPr="002B0325">
        <w:rPr>
          <w:szCs w:val="20"/>
        </w:rPr>
        <w:t>Функції, обов’язки, повноваження та відповідальність працівників Банку щодо їх участі в системі управління комплаєнс-ризиком та забезпечення належного звітування з цього питання визначені цією Політикою, ВНД Банку з питань управління комплаєнс-ризиком та зазначаються у посадових інструкціях працівників Банку.</w:t>
      </w:r>
    </w:p>
    <w:p w:rsidR="002C4413" w:rsidRPr="002B0325" w:rsidRDefault="002C4413" w:rsidP="004216FD">
      <w:pPr>
        <w:pStyle w:val="ListParagraph"/>
        <w:numPr>
          <w:ilvl w:val="1"/>
          <w:numId w:val="9"/>
        </w:numPr>
        <w:ind w:left="641" w:hanging="357"/>
        <w:rPr>
          <w:szCs w:val="20"/>
        </w:rPr>
      </w:pPr>
      <w:r w:rsidRPr="002B0325">
        <w:rPr>
          <w:szCs w:val="20"/>
        </w:rPr>
        <w:t xml:space="preserve">З метою уникнення негативного впливу на ефективність та безперервність функціонування системи управління комплаєнс-ризиком у разі тимчасової відсутності працівника або його звільнення, визначені цією Політикою повноваження переходять до працівника, що його тимчасово заміщує та прийнятий на посаду відповідно до наказу по Банку. </w:t>
      </w:r>
    </w:p>
    <w:p w:rsidR="002C4413" w:rsidRPr="002B0325" w:rsidRDefault="002C4413" w:rsidP="004216FD">
      <w:pPr>
        <w:pStyle w:val="ListParagraph"/>
        <w:numPr>
          <w:ilvl w:val="1"/>
          <w:numId w:val="9"/>
        </w:numPr>
        <w:ind w:left="641" w:hanging="357"/>
        <w:rPr>
          <w:szCs w:val="20"/>
        </w:rPr>
      </w:pPr>
      <w:r w:rsidRPr="002B0325">
        <w:rPr>
          <w:szCs w:val="20"/>
        </w:rPr>
        <w:t>Управління комплаєнс-ризиком у Банку здійснюється із застосуванням моделі трьох ліній захисту, оскільки виникнення комплаєнс-ризику можливе в усіх сферах діяльності на всіх рівнях управління Банком, тому процес управління комплаєнс-ризиком передбачає можливість залучення працівників усіх підрозділів Банку на різних етапах цього процесу та організований на розподілі обов'язків між підрозділами Банку, зокрема:</w:t>
      </w:r>
    </w:p>
    <w:p w:rsidR="002C4413" w:rsidRPr="002B0325" w:rsidRDefault="002C4413" w:rsidP="002C4413">
      <w:pPr>
        <w:pStyle w:val="ListParagraph"/>
        <w:numPr>
          <w:ilvl w:val="0"/>
          <w:numId w:val="8"/>
        </w:numPr>
        <w:rPr>
          <w:szCs w:val="20"/>
          <w:lang w:val="uk-UA"/>
        </w:rPr>
      </w:pPr>
      <w:r w:rsidRPr="002B0325">
        <w:rPr>
          <w:b/>
          <w:szCs w:val="20"/>
          <w:lang w:val="uk-UA"/>
        </w:rPr>
        <w:t>перша лінія захисту</w:t>
      </w:r>
      <w:r w:rsidRPr="002B0325">
        <w:rPr>
          <w:szCs w:val="20"/>
          <w:lang w:val="uk-UA"/>
        </w:rPr>
        <w:t xml:space="preserve"> - на рівні бізнес-підрозділів та підрозділів підтримки діяльності Банку, які приймають комплаєнс-ризик та несуть відповідальність за нього, здійснюють поточне управління комплаєнс-ризиком і подають звіти щодо поточного управління комплаєнс-ризиком;</w:t>
      </w:r>
    </w:p>
    <w:p w:rsidR="002C4413" w:rsidRPr="002B0325" w:rsidRDefault="002C4413" w:rsidP="002C4413">
      <w:pPr>
        <w:pStyle w:val="ListParagraph"/>
        <w:numPr>
          <w:ilvl w:val="0"/>
          <w:numId w:val="8"/>
        </w:numPr>
        <w:rPr>
          <w:szCs w:val="20"/>
          <w:lang w:val="uk-UA"/>
        </w:rPr>
      </w:pPr>
      <w:r w:rsidRPr="002B0325">
        <w:rPr>
          <w:b/>
          <w:bCs/>
          <w:szCs w:val="20"/>
          <w:lang w:val="uk-UA"/>
        </w:rPr>
        <w:t>друга лінія захисту</w:t>
      </w:r>
      <w:r w:rsidRPr="002B0325">
        <w:rPr>
          <w:bCs/>
          <w:szCs w:val="20"/>
          <w:lang w:val="uk-UA"/>
        </w:rPr>
        <w:t xml:space="preserve"> - на рівні Департаменту комплаєнс, який забезпечує виконання функцій </w:t>
      </w:r>
      <w:r w:rsidRPr="002B0325">
        <w:rPr>
          <w:szCs w:val="20"/>
          <w:lang w:val="uk-UA"/>
        </w:rPr>
        <w:t>з управління комплаєнс-ризиком</w:t>
      </w:r>
      <w:r w:rsidRPr="002B0325" w:rsidDel="00ED4089">
        <w:rPr>
          <w:bCs/>
          <w:szCs w:val="20"/>
          <w:lang w:val="uk-UA"/>
        </w:rPr>
        <w:t xml:space="preserve"> </w:t>
      </w:r>
      <w:r w:rsidRPr="002B0325">
        <w:rPr>
          <w:bCs/>
          <w:szCs w:val="20"/>
          <w:lang w:val="uk-UA"/>
        </w:rPr>
        <w:t xml:space="preserve">та забезпечує впевненість керівників Банку, що впроваджені першою лінією захисту заходи з контролю та управління комплаєнс-ризиком були розроблені та функціонують належним чином; інші учасники другої лінії захисту (згідно Стратегії управління ризиками </w:t>
      </w:r>
      <w:r w:rsidRPr="002B0325">
        <w:rPr>
          <w:szCs w:val="20"/>
          <w:lang w:val="uk-UA"/>
        </w:rPr>
        <w:t>АТ «УНІВЕРСАЛ БАНК</w:t>
      </w:r>
      <w:r w:rsidRPr="002B0325">
        <w:rPr>
          <w:bCs/>
          <w:szCs w:val="20"/>
          <w:lang w:val="uk-UA"/>
        </w:rPr>
        <w:t>) - в межах своїх повноважень</w:t>
      </w:r>
      <w:r w:rsidRPr="002B0325">
        <w:rPr>
          <w:szCs w:val="20"/>
          <w:lang w:val="uk-UA"/>
        </w:rPr>
        <w:t>;</w:t>
      </w:r>
    </w:p>
    <w:p w:rsidR="002C4413" w:rsidRPr="002B0325" w:rsidRDefault="002C4413" w:rsidP="002C4413">
      <w:pPr>
        <w:pStyle w:val="ListParagraph"/>
        <w:numPr>
          <w:ilvl w:val="0"/>
          <w:numId w:val="8"/>
        </w:numPr>
        <w:rPr>
          <w:szCs w:val="20"/>
          <w:lang w:val="uk-UA"/>
        </w:rPr>
      </w:pPr>
      <w:r w:rsidRPr="002B0325">
        <w:rPr>
          <w:b/>
          <w:szCs w:val="20"/>
          <w:lang w:val="uk-UA"/>
        </w:rPr>
        <w:t>третя лінія захисту</w:t>
      </w:r>
      <w:r w:rsidRPr="002B0325">
        <w:rPr>
          <w:szCs w:val="20"/>
          <w:lang w:val="uk-UA"/>
        </w:rPr>
        <w:t xml:space="preserve"> - на рівні Служби внутрішнього аудиту, яка здійснює перевірку та оцінку ефективності функціонування системи управління комплаєнс-ризиком.</w:t>
      </w:r>
    </w:p>
    <w:p w:rsidR="002C4413" w:rsidRPr="002B0325" w:rsidRDefault="002C4413" w:rsidP="000A74F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2C4413" w:rsidRPr="002B0325" w:rsidRDefault="002C4413" w:rsidP="002B0325">
      <w:pPr>
        <w:spacing w:after="0" w:line="240" w:lineRule="auto"/>
        <w:ind w:left="641" w:hanging="357"/>
        <w:jc w:val="both"/>
        <w:rPr>
          <w:rFonts w:ascii="Times New Roman" w:hAnsi="Times New Roman" w:cs="Times New Roman"/>
          <w:snapToGrid w:val="0"/>
          <w:sz w:val="20"/>
          <w:szCs w:val="20"/>
          <w:lang w:val="el-GR"/>
        </w:rPr>
      </w:pPr>
      <w:r w:rsidRPr="002B0325">
        <w:rPr>
          <w:rFonts w:ascii="Times New Roman" w:hAnsi="Times New Roman" w:cs="Times New Roman"/>
          <w:snapToGrid w:val="0"/>
          <w:sz w:val="20"/>
          <w:szCs w:val="20"/>
        </w:rPr>
        <w:t xml:space="preserve">7.1. </w:t>
      </w:r>
      <w:r w:rsidRPr="002B0325">
        <w:rPr>
          <w:rFonts w:ascii="Times New Roman" w:hAnsi="Times New Roman" w:cs="Times New Roman"/>
          <w:snapToGrid w:val="0"/>
          <w:sz w:val="20"/>
          <w:szCs w:val="20"/>
          <w:lang w:val="el-GR"/>
        </w:rPr>
        <w:t>Система управління комплаєнс-ризиком забезпечує аналіз комплаєнс-ризику на постійній основі з метою прийняття своєчасних та адекватних управлінських рішень щодо пом'якшення комплаєнс-ризику та зменшення пов'язаних із ним втрат (збитків).</w:t>
      </w:r>
    </w:p>
    <w:p w:rsidR="002C4413" w:rsidRPr="002B0325" w:rsidRDefault="002C4413" w:rsidP="000A74F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0A74FB" w:rsidRPr="002B0325" w:rsidRDefault="00893CCF" w:rsidP="002B0325">
      <w:p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0"/>
          <w:szCs w:val="20"/>
        </w:rPr>
      </w:pPr>
      <w:r w:rsidRPr="002B0325">
        <w:rPr>
          <w:rFonts w:ascii="Times New Roman" w:hAnsi="Times New Roman" w:cs="Times New Roman"/>
          <w:snapToGrid w:val="0"/>
          <w:sz w:val="20"/>
          <w:szCs w:val="20"/>
          <w:lang w:val="el-GR"/>
        </w:rPr>
        <w:t>7.2.</w:t>
      </w:r>
      <w:r w:rsidRPr="002B0325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2B0325">
        <w:rPr>
          <w:rFonts w:ascii="Times New Roman" w:hAnsi="Times New Roman" w:cs="Times New Roman"/>
          <w:sz w:val="20"/>
          <w:szCs w:val="20"/>
        </w:rPr>
        <w:t xml:space="preserve">Процес управління комплаєнс-ризиком складається з наступних етапів: </w:t>
      </w:r>
      <w:r w:rsidR="000A74FB" w:rsidRPr="002B0325">
        <w:rPr>
          <w:rFonts w:ascii="Times New Roman" w:hAnsi="Times New Roman" w:cs="Times New Roman"/>
          <w:sz w:val="20"/>
          <w:szCs w:val="20"/>
        </w:rPr>
        <w:t xml:space="preserve">виявлення, вимірювання, моніторинг, контроль, звітування та пом'якшення комплаєнс-ризику. Процес управління комплаєнс-ризиком має охоплювати всі види діяльності Банку, всі фактори, які впливають на зміну рівня комплаєнс-ризику, та має бути безперервним процесом аналізу ситуації та оточення, в яких виникає комплаєнс-ризик, а також прийняття управлінських рішень щодо впливу на комплаєнс-ризик та/або на рівень вразливості Банку до комплаєнс-ризику. Банк застосовує ризик-орієнтовний підхід щодо організації функції комплаєнс-контролю в Банку, відповідно до якого Банк визначає пріоритетні напрямки комплаєнс, зосереджуючи свої основні зусилля на тих сферах діяльності Банку, яким притаманні більші ризики. </w:t>
      </w:r>
    </w:p>
    <w:p w:rsidR="00987570" w:rsidRPr="002B0325" w:rsidRDefault="00987570" w:rsidP="000A74FB">
      <w:pPr>
        <w:tabs>
          <w:tab w:val="left" w:pos="567"/>
        </w:tabs>
        <w:ind w:left="284"/>
        <w:jc w:val="both"/>
        <w:rPr>
          <w:sz w:val="20"/>
          <w:szCs w:val="20"/>
        </w:rPr>
      </w:pPr>
    </w:p>
    <w:sectPr w:rsidR="00987570" w:rsidRPr="002B0325" w:rsidSect="00363A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30" w:rsidRDefault="003E5B30" w:rsidP="003E5B30">
      <w:pPr>
        <w:spacing w:after="0" w:line="240" w:lineRule="auto"/>
      </w:pPr>
      <w:r>
        <w:separator/>
      </w:r>
    </w:p>
  </w:endnote>
  <w:endnote w:type="continuationSeparator" w:id="0">
    <w:p w:rsidR="003E5B30" w:rsidRDefault="003E5B30" w:rsidP="003E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30" w:rsidRDefault="003E5B30" w:rsidP="003E5B30">
      <w:pPr>
        <w:spacing w:after="0" w:line="240" w:lineRule="auto"/>
      </w:pPr>
      <w:r>
        <w:separator/>
      </w:r>
    </w:p>
  </w:footnote>
  <w:footnote w:type="continuationSeparator" w:id="0">
    <w:p w:rsidR="003E5B30" w:rsidRDefault="003E5B30" w:rsidP="003E5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721A"/>
    <w:multiLevelType w:val="hybridMultilevel"/>
    <w:tmpl w:val="3BFA498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7001C"/>
    <w:multiLevelType w:val="hybridMultilevel"/>
    <w:tmpl w:val="1E8EA10C"/>
    <w:lvl w:ilvl="0" w:tplc="074AE2F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E5D09FA"/>
    <w:multiLevelType w:val="hybridMultilevel"/>
    <w:tmpl w:val="CFD8080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E271D"/>
    <w:multiLevelType w:val="multilevel"/>
    <w:tmpl w:val="AB04384C"/>
    <w:lvl w:ilvl="0">
      <w:start w:val="1"/>
      <w:numFmt w:val="decimal"/>
      <w:pStyle w:val="Heading6"/>
      <w:lvlText w:val="%1."/>
      <w:lvlJc w:val="left"/>
      <w:pPr>
        <w:ind w:left="360" w:hanging="360"/>
      </w:pPr>
    </w:lvl>
    <w:lvl w:ilvl="1">
      <w:start w:val="1"/>
      <w:numFmt w:val="decimal"/>
      <w:pStyle w:val="Normalnumber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37F4DB9"/>
    <w:multiLevelType w:val="multilevel"/>
    <w:tmpl w:val="2A30CA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5">
    <w:nsid w:val="61925FFD"/>
    <w:multiLevelType w:val="hybridMultilevel"/>
    <w:tmpl w:val="4C3E6CC0"/>
    <w:lvl w:ilvl="0" w:tplc="8856D338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479CA"/>
    <w:multiLevelType w:val="multilevel"/>
    <w:tmpl w:val="6DE8E14A"/>
    <w:lvl w:ilvl="0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440"/>
      </w:pPr>
      <w:rPr>
        <w:rFonts w:hint="default"/>
      </w:rPr>
    </w:lvl>
  </w:abstractNum>
  <w:abstractNum w:abstractNumId="7">
    <w:nsid w:val="74327942"/>
    <w:multiLevelType w:val="hybridMultilevel"/>
    <w:tmpl w:val="467A101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230EE"/>
    <w:multiLevelType w:val="hybridMultilevel"/>
    <w:tmpl w:val="9A287BE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48A68FCE">
      <w:start w:val="5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ahoma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CF"/>
    <w:rsid w:val="000A74FB"/>
    <w:rsid w:val="002B0325"/>
    <w:rsid w:val="002C4413"/>
    <w:rsid w:val="002D17FE"/>
    <w:rsid w:val="00363AFB"/>
    <w:rsid w:val="003E5B30"/>
    <w:rsid w:val="00412345"/>
    <w:rsid w:val="004216FD"/>
    <w:rsid w:val="00702D11"/>
    <w:rsid w:val="00893CCF"/>
    <w:rsid w:val="0098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CF"/>
  </w:style>
  <w:style w:type="paragraph" w:styleId="Heading3">
    <w:name w:val="heading 3"/>
    <w:basedOn w:val="Normal"/>
    <w:next w:val="Normal"/>
    <w:link w:val="Heading3Char"/>
    <w:autoRedefine/>
    <w:qFormat/>
    <w:rsid w:val="000A74FB"/>
    <w:pPr>
      <w:keepNext/>
      <w:numPr>
        <w:numId w:val="7"/>
      </w:numPr>
      <w:tabs>
        <w:tab w:val="left" w:pos="0"/>
      </w:tabs>
      <w:spacing w:before="240" w:after="120" w:line="240" w:lineRule="auto"/>
      <w:outlineLvl w:val="2"/>
    </w:pPr>
    <w:rPr>
      <w:rFonts w:ascii="Times New Roman" w:eastAsia="Times New Roman" w:hAnsi="Times New Roman" w:cs="Arial"/>
      <w:b/>
      <w:bCs/>
      <w:sz w:val="20"/>
      <w:szCs w:val="26"/>
      <w:lang w:val="ru-RU" w:eastAsia="ru-RU"/>
    </w:rPr>
  </w:style>
  <w:style w:type="paragraph" w:styleId="Heading6">
    <w:name w:val="heading 6"/>
    <w:aliases w:val="Heading normal"/>
    <w:basedOn w:val="Normal"/>
    <w:next w:val="Normal"/>
    <w:link w:val="Heading6Char"/>
    <w:autoRedefine/>
    <w:qFormat/>
    <w:rsid w:val="00893CCF"/>
    <w:pPr>
      <w:numPr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aliases w:val="Heading normal Char"/>
    <w:basedOn w:val="DefaultParagraphFont"/>
    <w:link w:val="Heading6"/>
    <w:rsid w:val="00893CCF"/>
    <w:rPr>
      <w:rFonts w:ascii="Times New Roman" w:eastAsia="Times New Roman" w:hAnsi="Times New Roman" w:cs="Times New Roman"/>
      <w:b/>
      <w:bCs/>
      <w:sz w:val="24"/>
    </w:rPr>
  </w:style>
  <w:style w:type="paragraph" w:customStyle="1" w:styleId="HEAD1">
    <w:name w:val="HEAD1"/>
    <w:basedOn w:val="Normal"/>
    <w:rsid w:val="00893CC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napToGrid w:val="0"/>
      <w:lang w:val="en-US" w:eastAsia="ru-RU"/>
    </w:rPr>
  </w:style>
  <w:style w:type="paragraph" w:styleId="ListParagraph">
    <w:name w:val="List Paragraph"/>
    <w:aliases w:val="Number normal,Number Normal,Bullets,Heading Bullet,text bullet,List Numbers,Elenco Normale,Normal bullet 2"/>
    <w:basedOn w:val="Normal"/>
    <w:link w:val="ListParagraphChar"/>
    <w:uiPriority w:val="34"/>
    <w:qFormat/>
    <w:rsid w:val="00893CC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4"/>
      <w:lang w:val="el-GR"/>
    </w:rPr>
  </w:style>
  <w:style w:type="paragraph" w:customStyle="1" w:styleId="Normalnumber">
    <w:name w:val="Normal number"/>
    <w:basedOn w:val="ListParagraph"/>
    <w:link w:val="NormalnumberChar"/>
    <w:qFormat/>
    <w:rsid w:val="00893CCF"/>
    <w:pPr>
      <w:numPr>
        <w:ilvl w:val="1"/>
        <w:numId w:val="1"/>
      </w:numPr>
    </w:pPr>
    <w:rPr>
      <w:color w:val="333333"/>
      <w:szCs w:val="20"/>
    </w:rPr>
  </w:style>
  <w:style w:type="character" w:customStyle="1" w:styleId="ListParagraphChar">
    <w:name w:val="List Paragraph Char"/>
    <w:aliases w:val="Number normal Char,Number Normal Char,Bullets Char,Heading Bullet Char,text bullet Char,List Numbers Char,Elenco Normale Char,Normal bullet 2 Char"/>
    <w:basedOn w:val="DefaultParagraphFont"/>
    <w:link w:val="ListParagraph"/>
    <w:uiPriority w:val="34"/>
    <w:rsid w:val="00893CCF"/>
    <w:rPr>
      <w:rFonts w:ascii="Times New Roman" w:eastAsia="Times New Roman" w:hAnsi="Times New Roman" w:cs="Times New Roman"/>
      <w:sz w:val="20"/>
      <w:szCs w:val="24"/>
      <w:lang w:val="el-GR"/>
    </w:rPr>
  </w:style>
  <w:style w:type="character" w:customStyle="1" w:styleId="NormalnumberChar">
    <w:name w:val="Normal number Char"/>
    <w:basedOn w:val="ListParagraphChar"/>
    <w:link w:val="Normalnumber"/>
    <w:rsid w:val="00893CCF"/>
    <w:rPr>
      <w:rFonts w:ascii="Times New Roman" w:eastAsia="Times New Roman" w:hAnsi="Times New Roman" w:cs="Times New Roman"/>
      <w:color w:val="333333"/>
      <w:sz w:val="20"/>
      <w:szCs w:val="20"/>
      <w:lang w:val="el-GR"/>
    </w:rPr>
  </w:style>
  <w:style w:type="paragraph" w:styleId="NoSpacing">
    <w:name w:val="No Spacing"/>
    <w:qFormat/>
    <w:rsid w:val="00893C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93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CC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C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A74FB"/>
    <w:rPr>
      <w:rFonts w:ascii="Times New Roman" w:eastAsia="Times New Roman" w:hAnsi="Times New Roman" w:cs="Arial"/>
      <w:b/>
      <w:bCs/>
      <w:sz w:val="20"/>
      <w:szCs w:val="26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5B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30"/>
  </w:style>
  <w:style w:type="paragraph" w:styleId="Footer">
    <w:name w:val="footer"/>
    <w:basedOn w:val="Normal"/>
    <w:link w:val="FooterChar"/>
    <w:uiPriority w:val="99"/>
    <w:unhideWhenUsed/>
    <w:rsid w:val="003E5B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CF"/>
  </w:style>
  <w:style w:type="paragraph" w:styleId="Heading3">
    <w:name w:val="heading 3"/>
    <w:basedOn w:val="Normal"/>
    <w:next w:val="Normal"/>
    <w:link w:val="Heading3Char"/>
    <w:autoRedefine/>
    <w:qFormat/>
    <w:rsid w:val="000A74FB"/>
    <w:pPr>
      <w:keepNext/>
      <w:numPr>
        <w:numId w:val="7"/>
      </w:numPr>
      <w:tabs>
        <w:tab w:val="left" w:pos="0"/>
      </w:tabs>
      <w:spacing w:before="240" w:after="120" w:line="240" w:lineRule="auto"/>
      <w:outlineLvl w:val="2"/>
    </w:pPr>
    <w:rPr>
      <w:rFonts w:ascii="Times New Roman" w:eastAsia="Times New Roman" w:hAnsi="Times New Roman" w:cs="Arial"/>
      <w:b/>
      <w:bCs/>
      <w:sz w:val="20"/>
      <w:szCs w:val="26"/>
      <w:lang w:val="ru-RU" w:eastAsia="ru-RU"/>
    </w:rPr>
  </w:style>
  <w:style w:type="paragraph" w:styleId="Heading6">
    <w:name w:val="heading 6"/>
    <w:aliases w:val="Heading normal"/>
    <w:basedOn w:val="Normal"/>
    <w:next w:val="Normal"/>
    <w:link w:val="Heading6Char"/>
    <w:autoRedefine/>
    <w:qFormat/>
    <w:rsid w:val="00893CCF"/>
    <w:pPr>
      <w:numPr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aliases w:val="Heading normal Char"/>
    <w:basedOn w:val="DefaultParagraphFont"/>
    <w:link w:val="Heading6"/>
    <w:rsid w:val="00893CCF"/>
    <w:rPr>
      <w:rFonts w:ascii="Times New Roman" w:eastAsia="Times New Roman" w:hAnsi="Times New Roman" w:cs="Times New Roman"/>
      <w:b/>
      <w:bCs/>
      <w:sz w:val="24"/>
    </w:rPr>
  </w:style>
  <w:style w:type="paragraph" w:customStyle="1" w:styleId="HEAD1">
    <w:name w:val="HEAD1"/>
    <w:basedOn w:val="Normal"/>
    <w:rsid w:val="00893CC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napToGrid w:val="0"/>
      <w:lang w:val="en-US" w:eastAsia="ru-RU"/>
    </w:rPr>
  </w:style>
  <w:style w:type="paragraph" w:styleId="ListParagraph">
    <w:name w:val="List Paragraph"/>
    <w:aliases w:val="Number normal,Number Normal,Bullets,Heading Bullet,text bullet,List Numbers,Elenco Normale,Normal bullet 2"/>
    <w:basedOn w:val="Normal"/>
    <w:link w:val="ListParagraphChar"/>
    <w:uiPriority w:val="34"/>
    <w:qFormat/>
    <w:rsid w:val="00893CC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4"/>
      <w:lang w:val="el-GR"/>
    </w:rPr>
  </w:style>
  <w:style w:type="paragraph" w:customStyle="1" w:styleId="Normalnumber">
    <w:name w:val="Normal number"/>
    <w:basedOn w:val="ListParagraph"/>
    <w:link w:val="NormalnumberChar"/>
    <w:qFormat/>
    <w:rsid w:val="00893CCF"/>
    <w:pPr>
      <w:numPr>
        <w:ilvl w:val="1"/>
        <w:numId w:val="1"/>
      </w:numPr>
    </w:pPr>
    <w:rPr>
      <w:color w:val="333333"/>
      <w:szCs w:val="20"/>
    </w:rPr>
  </w:style>
  <w:style w:type="character" w:customStyle="1" w:styleId="ListParagraphChar">
    <w:name w:val="List Paragraph Char"/>
    <w:aliases w:val="Number normal Char,Number Normal Char,Bullets Char,Heading Bullet Char,text bullet Char,List Numbers Char,Elenco Normale Char,Normal bullet 2 Char"/>
    <w:basedOn w:val="DefaultParagraphFont"/>
    <w:link w:val="ListParagraph"/>
    <w:uiPriority w:val="34"/>
    <w:rsid w:val="00893CCF"/>
    <w:rPr>
      <w:rFonts w:ascii="Times New Roman" w:eastAsia="Times New Roman" w:hAnsi="Times New Roman" w:cs="Times New Roman"/>
      <w:sz w:val="20"/>
      <w:szCs w:val="24"/>
      <w:lang w:val="el-GR"/>
    </w:rPr>
  </w:style>
  <w:style w:type="character" w:customStyle="1" w:styleId="NormalnumberChar">
    <w:name w:val="Normal number Char"/>
    <w:basedOn w:val="ListParagraphChar"/>
    <w:link w:val="Normalnumber"/>
    <w:rsid w:val="00893CCF"/>
    <w:rPr>
      <w:rFonts w:ascii="Times New Roman" w:eastAsia="Times New Roman" w:hAnsi="Times New Roman" w:cs="Times New Roman"/>
      <w:color w:val="333333"/>
      <w:sz w:val="20"/>
      <w:szCs w:val="20"/>
      <w:lang w:val="el-GR"/>
    </w:rPr>
  </w:style>
  <w:style w:type="paragraph" w:styleId="NoSpacing">
    <w:name w:val="No Spacing"/>
    <w:qFormat/>
    <w:rsid w:val="00893C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93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CC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C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A74FB"/>
    <w:rPr>
      <w:rFonts w:ascii="Times New Roman" w:eastAsia="Times New Roman" w:hAnsi="Times New Roman" w:cs="Arial"/>
      <w:b/>
      <w:bCs/>
      <w:sz w:val="20"/>
      <w:szCs w:val="26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5B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30"/>
  </w:style>
  <w:style w:type="paragraph" w:styleId="Footer">
    <w:name w:val="footer"/>
    <w:basedOn w:val="Normal"/>
    <w:link w:val="FooterChar"/>
    <w:uiPriority w:val="99"/>
    <w:unhideWhenUsed/>
    <w:rsid w:val="003E5B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8145</Words>
  <Characters>4644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Universalbank</Company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 Iryna</dc:creator>
  <cp:lastModifiedBy>Trush Iryna</cp:lastModifiedBy>
  <cp:revision>2</cp:revision>
  <dcterms:created xsi:type="dcterms:W3CDTF">2023-01-31T11:39:00Z</dcterms:created>
  <dcterms:modified xsi:type="dcterms:W3CDTF">2023-01-31T11:39:00Z</dcterms:modified>
</cp:coreProperties>
</file>